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2D" w:rsidRDefault="00564E2D"/>
    <w:p w:rsidR="00670F29" w:rsidRPr="007A2F20" w:rsidRDefault="00670F29" w:rsidP="00670F29">
      <w:pPr>
        <w:spacing w:line="300" w:lineRule="atLeast"/>
        <w:ind w:left="72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>ALLEGATO 5A</w:t>
      </w:r>
    </w:p>
    <w:p w:rsidR="00670F29" w:rsidRPr="00CF14AE" w:rsidRDefault="00670F29" w:rsidP="00670F29">
      <w:pPr>
        <w:autoSpaceDE w:val="0"/>
        <w:autoSpaceDN w:val="0"/>
        <w:adjustRightInd w:val="0"/>
        <w:jc w:val="center"/>
        <w:rPr>
          <w:rFonts w:ascii="Garamond" w:hAnsi="Garamond" w:cs="Tahoma"/>
          <w:b/>
          <w:sz w:val="22"/>
          <w:szCs w:val="22"/>
          <w:u w:val="single"/>
        </w:rPr>
      </w:pPr>
    </w:p>
    <w:p w:rsidR="00670F29" w:rsidRPr="00670F29" w:rsidRDefault="00670F29" w:rsidP="00670F29">
      <w:pPr>
        <w:autoSpaceDE w:val="0"/>
        <w:autoSpaceDN w:val="0"/>
        <w:adjustRightInd w:val="0"/>
        <w:jc w:val="center"/>
        <w:rPr>
          <w:rFonts w:ascii="Garamond" w:hAnsi="Garamond" w:cs="Tahoma"/>
          <w:b/>
          <w:sz w:val="28"/>
          <w:szCs w:val="28"/>
        </w:rPr>
      </w:pPr>
      <w:r w:rsidRPr="00670F29">
        <w:rPr>
          <w:rFonts w:ascii="Garamond" w:hAnsi="Garamond" w:cs="Tahoma"/>
          <w:b/>
          <w:sz w:val="28"/>
          <w:szCs w:val="28"/>
        </w:rPr>
        <w:t xml:space="preserve">SERVIZIO </w:t>
      </w:r>
      <w:proofErr w:type="spellStart"/>
      <w:r w:rsidRPr="00670F29">
        <w:rPr>
          <w:rFonts w:ascii="Garamond" w:hAnsi="Garamond" w:cs="Tahoma"/>
          <w:b/>
          <w:sz w:val="28"/>
          <w:szCs w:val="28"/>
        </w:rPr>
        <w:t>DI</w:t>
      </w:r>
      <w:proofErr w:type="spellEnd"/>
      <w:r w:rsidRPr="00670F29">
        <w:rPr>
          <w:rFonts w:ascii="Garamond" w:hAnsi="Garamond" w:cs="Tahoma"/>
          <w:b/>
          <w:sz w:val="28"/>
          <w:szCs w:val="28"/>
        </w:rPr>
        <w:t xml:space="preserve"> PULIZIA E SANIFICAZIONE DELLA CAMERA MORTUARIA</w:t>
      </w:r>
    </w:p>
    <w:p w:rsidR="00670F29" w:rsidRPr="00CF14AE" w:rsidRDefault="00670F29" w:rsidP="00670F29">
      <w:pPr>
        <w:pStyle w:val="Titolo1"/>
        <w:jc w:val="both"/>
        <w:rPr>
          <w:rFonts w:ascii="Garamond" w:hAnsi="Garamond" w:cs="Tahoma"/>
          <w:b w:val="0"/>
          <w:sz w:val="22"/>
          <w:szCs w:val="22"/>
        </w:rPr>
      </w:pPr>
      <w:r w:rsidRPr="00CF14AE">
        <w:rPr>
          <w:rFonts w:ascii="Garamond" w:hAnsi="Garamond" w:cs="Tahoma"/>
          <w:b w:val="0"/>
          <w:sz w:val="22"/>
          <w:szCs w:val="22"/>
        </w:rPr>
        <w:t xml:space="preserve">Il Servizio di pulizia/sanificazione richiesto comprende le prestazioni di pulizia ordinarie e periodiche di </w:t>
      </w:r>
      <w:r w:rsidRPr="00CF14AE">
        <w:rPr>
          <w:rFonts w:ascii="Garamond" w:hAnsi="Garamond" w:cs="Tahoma"/>
          <w:sz w:val="22"/>
          <w:szCs w:val="22"/>
        </w:rPr>
        <w:t>tutti i locali</w:t>
      </w:r>
      <w:r>
        <w:rPr>
          <w:rFonts w:ascii="Garamond" w:hAnsi="Garamond" w:cs="Tahoma"/>
          <w:sz w:val="22"/>
          <w:szCs w:val="22"/>
        </w:rPr>
        <w:t>,</w:t>
      </w:r>
      <w:r w:rsidRPr="00AC0265">
        <w:rPr>
          <w:rFonts w:ascii="Garamond" w:hAnsi="Garamond" w:cs="Tahoma"/>
          <w:sz w:val="22"/>
          <w:szCs w:val="22"/>
        </w:rPr>
        <w:t xml:space="preserve"> arredi  e attrezzatura </w:t>
      </w:r>
      <w:r w:rsidRPr="00AC0265">
        <w:rPr>
          <w:rFonts w:ascii="Garamond" w:hAnsi="Garamond" w:cs="Tahoma"/>
          <w:b w:val="0"/>
          <w:sz w:val="22"/>
          <w:szCs w:val="22"/>
        </w:rPr>
        <w:t>della</w:t>
      </w:r>
      <w:r>
        <w:rPr>
          <w:rFonts w:ascii="Garamond" w:hAnsi="Garamond" w:cs="Tahoma"/>
          <w:b w:val="0"/>
          <w:color w:val="FF0000"/>
        </w:rPr>
        <w:t xml:space="preserve"> </w:t>
      </w:r>
      <w:r w:rsidRPr="00CF14AE">
        <w:rPr>
          <w:rFonts w:ascii="Garamond" w:hAnsi="Garamond" w:cs="Tahoma"/>
          <w:b w:val="0"/>
          <w:sz w:val="22"/>
          <w:szCs w:val="22"/>
        </w:rPr>
        <w:t>Camera Mortuaria di Pordenone e di Sacile. Sono a carico della ditta aggiudicataria del servizio anche la fornitura di sistemi di pulizia, prodotti, attrezzature ed eventuali dispositivi di protezione individuale necessari a</w:t>
      </w:r>
      <w:r>
        <w:rPr>
          <w:rFonts w:ascii="Garamond" w:hAnsi="Garamond" w:cs="Tahoma"/>
          <w:b w:val="0"/>
          <w:sz w:val="22"/>
          <w:szCs w:val="22"/>
        </w:rPr>
        <w:t xml:space="preserve">ll’espletamento delle attività </w:t>
      </w:r>
      <w:r w:rsidRPr="00CF14AE">
        <w:rPr>
          <w:rFonts w:ascii="Garamond" w:hAnsi="Garamond" w:cs="Tahoma"/>
          <w:b w:val="0"/>
          <w:sz w:val="22"/>
          <w:szCs w:val="22"/>
        </w:rPr>
        <w:t xml:space="preserve">richieste. </w:t>
      </w:r>
    </w:p>
    <w:p w:rsidR="00670F29" w:rsidRPr="00CF14AE" w:rsidRDefault="00670F29" w:rsidP="00670F29">
      <w:pPr>
        <w:pStyle w:val="Titolo1"/>
        <w:spacing w:line="300" w:lineRule="atLeast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Pulizie ordinarie</w:t>
      </w: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bCs/>
          <w:sz w:val="22"/>
          <w:szCs w:val="22"/>
        </w:rPr>
      </w:pPr>
      <w:r w:rsidRPr="00CF14AE">
        <w:rPr>
          <w:rFonts w:ascii="Garamond" w:hAnsi="Garamond" w:cs="Tahoma"/>
          <w:bCs/>
          <w:sz w:val="22"/>
          <w:szCs w:val="22"/>
        </w:rPr>
        <w:t xml:space="preserve">Sono interventi di carattere continuativo e </w:t>
      </w:r>
      <w:proofErr w:type="spellStart"/>
      <w:r w:rsidRPr="00CF14AE">
        <w:rPr>
          <w:rFonts w:ascii="Garamond" w:hAnsi="Garamond" w:cs="Tahoma"/>
          <w:bCs/>
          <w:i/>
          <w:sz w:val="22"/>
          <w:szCs w:val="22"/>
        </w:rPr>
        <w:t>routinario</w:t>
      </w:r>
      <w:proofErr w:type="spellEnd"/>
      <w:r w:rsidRPr="00CF14AE">
        <w:rPr>
          <w:rFonts w:ascii="Garamond" w:hAnsi="Garamond" w:cs="Tahoma"/>
          <w:bCs/>
          <w:sz w:val="22"/>
          <w:szCs w:val="22"/>
        </w:rPr>
        <w:t xml:space="preserve"> eseguiti secondo la frequenza stabilita nella tabella sottostante.</w:t>
      </w:r>
    </w:p>
    <w:p w:rsidR="00670F29" w:rsidRPr="004C3373" w:rsidRDefault="00670F29" w:rsidP="00670F29">
      <w:pPr>
        <w:spacing w:line="300" w:lineRule="atLeast"/>
        <w:jc w:val="both"/>
        <w:rPr>
          <w:rFonts w:ascii="Garamond" w:hAnsi="Garamond" w:cs="Tahoma"/>
          <w:bCs/>
          <w:sz w:val="22"/>
          <w:szCs w:val="22"/>
        </w:rPr>
      </w:pPr>
      <w:r w:rsidRPr="00CF14AE">
        <w:rPr>
          <w:rFonts w:ascii="Garamond" w:hAnsi="Garamond" w:cs="Tahoma"/>
          <w:bCs/>
          <w:sz w:val="22"/>
          <w:szCs w:val="22"/>
        </w:rPr>
        <w:t>Includono le attività standard che permettono di gestire le normali esigenze di pulizia dell’Azienda Ospedaliera</w:t>
      </w:r>
      <w:r>
        <w:rPr>
          <w:rFonts w:ascii="Garamond" w:hAnsi="Garamond" w:cs="Tahoma"/>
          <w:bCs/>
          <w:sz w:val="22"/>
          <w:szCs w:val="22"/>
        </w:rPr>
        <w:t xml:space="preserve"> </w:t>
      </w:r>
      <w:r w:rsidRPr="004C3373">
        <w:rPr>
          <w:rFonts w:ascii="Garamond" w:hAnsi="Garamond" w:cs="Tahoma"/>
          <w:bCs/>
          <w:sz w:val="22"/>
          <w:szCs w:val="22"/>
        </w:rPr>
        <w:t>nonché lo smaltimento dei rifiuti secondo il protocollo aziendale.</w:t>
      </w: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bCs/>
          <w:sz w:val="22"/>
          <w:szCs w:val="22"/>
        </w:rPr>
      </w:pPr>
    </w:p>
    <w:p w:rsidR="00670F29" w:rsidRPr="00CF14AE" w:rsidRDefault="00670F29" w:rsidP="00670F29">
      <w:pPr>
        <w:spacing w:line="360" w:lineRule="atLeast"/>
        <w:rPr>
          <w:rFonts w:ascii="Garamond" w:hAnsi="Garamond" w:cs="Tahoma"/>
          <w:b/>
          <w:bCs/>
          <w:sz w:val="22"/>
          <w:szCs w:val="22"/>
        </w:rPr>
      </w:pPr>
      <w:r w:rsidRPr="00CF14AE">
        <w:rPr>
          <w:rFonts w:ascii="Garamond" w:hAnsi="Garamond" w:cs="Tahoma"/>
          <w:b/>
          <w:bCs/>
          <w:sz w:val="22"/>
          <w:szCs w:val="22"/>
        </w:rPr>
        <w:t>Pulizie periodiche</w:t>
      </w: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/>
          <w:sz w:val="22"/>
          <w:szCs w:val="22"/>
        </w:rPr>
      </w:pPr>
      <w:r w:rsidRPr="00CF14AE">
        <w:rPr>
          <w:rFonts w:ascii="Garamond" w:hAnsi="Garamond"/>
          <w:sz w:val="22"/>
          <w:szCs w:val="22"/>
        </w:rPr>
        <w:t>Sono interventi di pulizia “a fondo” di tutti i l</w:t>
      </w:r>
      <w:r>
        <w:rPr>
          <w:rFonts w:ascii="Garamond" w:hAnsi="Garamond"/>
          <w:sz w:val="22"/>
          <w:szCs w:val="22"/>
        </w:rPr>
        <w:t xml:space="preserve">ocali elencati, da effettuarsi </w:t>
      </w:r>
      <w:r w:rsidRPr="00CF14AE">
        <w:rPr>
          <w:rFonts w:ascii="Garamond" w:hAnsi="Garamond"/>
          <w:sz w:val="22"/>
          <w:szCs w:val="22"/>
        </w:rPr>
        <w:t>almeno una volta all’anno.</w:t>
      </w:r>
    </w:p>
    <w:p w:rsidR="00670F29" w:rsidRPr="00CF14AE" w:rsidRDefault="00670F29" w:rsidP="00670F29">
      <w:pPr>
        <w:pStyle w:val="Titolo1"/>
        <w:spacing w:line="300" w:lineRule="atLeast"/>
        <w:rPr>
          <w:rFonts w:ascii="Garamond" w:hAnsi="Garamond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Indicazioni atte a garantire il livello igienico richiesto</w:t>
      </w:r>
      <w:r>
        <w:rPr>
          <w:rFonts w:ascii="Garamond" w:hAnsi="Garamond" w:cs="Tahoma"/>
          <w:sz w:val="22"/>
          <w:szCs w:val="22"/>
        </w:rPr>
        <w:t>:</w:t>
      </w:r>
    </w:p>
    <w:p w:rsidR="00670F29" w:rsidRPr="00CF14AE" w:rsidRDefault="00670F29" w:rsidP="00670F29">
      <w:pPr>
        <w:numPr>
          <w:ilvl w:val="0"/>
          <w:numId w:val="2"/>
        </w:numPr>
        <w:tabs>
          <w:tab w:val="clear" w:pos="720"/>
          <w:tab w:val="num" w:pos="360"/>
        </w:tabs>
        <w:spacing w:line="300" w:lineRule="atLeast"/>
        <w:ind w:left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 xml:space="preserve"> E’ fondamentale mantenere il materiale utilizzato per </w:t>
      </w:r>
      <w:r w:rsidRPr="00CF14AE">
        <w:rPr>
          <w:rFonts w:ascii="Garamond" w:hAnsi="Garamond" w:cs="Tahoma"/>
          <w:color w:val="000000"/>
          <w:sz w:val="22"/>
          <w:szCs w:val="22"/>
        </w:rPr>
        <w:t>la pulizia</w:t>
      </w:r>
      <w:r w:rsidRPr="00CF14AE">
        <w:rPr>
          <w:rFonts w:ascii="Garamond" w:hAnsi="Garamond" w:cs="Tahoma"/>
          <w:color w:val="FF0000"/>
          <w:sz w:val="22"/>
          <w:szCs w:val="22"/>
        </w:rPr>
        <w:t xml:space="preserve"> </w:t>
      </w:r>
      <w:r w:rsidRPr="00CF14AE">
        <w:rPr>
          <w:rFonts w:ascii="Garamond" w:hAnsi="Garamond" w:cs="Tahoma"/>
          <w:sz w:val="22"/>
          <w:szCs w:val="22"/>
        </w:rPr>
        <w:t xml:space="preserve">gli ambienti, suppellettili, ecc., ben suddiviso a seconda dell’area </w:t>
      </w:r>
      <w:r w:rsidRPr="00CF14AE">
        <w:rPr>
          <w:rFonts w:ascii="Garamond" w:hAnsi="Garamond" w:cs="Tahoma"/>
          <w:color w:val="000000"/>
          <w:sz w:val="22"/>
          <w:szCs w:val="22"/>
        </w:rPr>
        <w:t>di intervento</w:t>
      </w:r>
      <w:r w:rsidRPr="00CF14AE">
        <w:rPr>
          <w:rFonts w:ascii="Garamond" w:hAnsi="Garamond" w:cs="Tahoma"/>
          <w:sz w:val="22"/>
          <w:szCs w:val="22"/>
        </w:rPr>
        <w:t xml:space="preserve">, della destinazione d’uso dei locali e delle caratteristiche dei materiali da pulire, per evitare il diffondersi di contaminazioni batteriche da una zona all’altra. A tal fine può risultare utile adottare un sistema a codice colore, </w:t>
      </w:r>
      <w:r w:rsidRPr="00CF14AE">
        <w:rPr>
          <w:rFonts w:ascii="Garamond" w:hAnsi="Garamond" w:cs="Tahoma"/>
          <w:color w:val="000000"/>
          <w:sz w:val="22"/>
          <w:szCs w:val="22"/>
        </w:rPr>
        <w:t>con cui identificare</w:t>
      </w:r>
      <w:r w:rsidRPr="00CF14AE">
        <w:rPr>
          <w:rFonts w:ascii="Garamond" w:hAnsi="Garamond" w:cs="Tahoma"/>
          <w:sz w:val="22"/>
          <w:szCs w:val="22"/>
        </w:rPr>
        <w:t xml:space="preserve"> le diverse aree e destinazioni di materiale.</w:t>
      </w:r>
    </w:p>
    <w:p w:rsidR="00670F29" w:rsidRPr="00CF14AE" w:rsidRDefault="00670F29" w:rsidP="00670F29">
      <w:pPr>
        <w:spacing w:line="300" w:lineRule="atLeast"/>
        <w:ind w:left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Esempio:</w:t>
      </w:r>
    </w:p>
    <w:p w:rsidR="00670F29" w:rsidRPr="00CF14AE" w:rsidRDefault="00670F29" w:rsidP="00670F29">
      <w:pPr>
        <w:tabs>
          <w:tab w:val="left" w:pos="720"/>
        </w:tabs>
        <w:spacing w:line="300" w:lineRule="atLeast"/>
        <w:ind w:left="720" w:hanging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-   Area “deposito salme”: colore Blu per tutte le parti lavabili;</w:t>
      </w:r>
    </w:p>
    <w:p w:rsidR="00670F29" w:rsidRPr="00CF14AE" w:rsidRDefault="00670F29" w:rsidP="00670F29">
      <w:pPr>
        <w:tabs>
          <w:tab w:val="left" w:pos="720"/>
        </w:tabs>
        <w:spacing w:line="300" w:lineRule="atLeast"/>
        <w:ind w:left="720" w:hanging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 xml:space="preserve">-   Zona bagno: colore Giallo per lavabo e area adiacente, porte, maniglie, docce/vasche da </w:t>
      </w:r>
    </w:p>
    <w:p w:rsidR="00670F29" w:rsidRPr="00CF14AE" w:rsidRDefault="00670F29" w:rsidP="00670F29">
      <w:pPr>
        <w:tabs>
          <w:tab w:val="left" w:pos="720"/>
        </w:tabs>
        <w:spacing w:line="300" w:lineRule="atLeast"/>
        <w:ind w:left="720" w:hanging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 xml:space="preserve">    bagno, piastrelle, ecc.</w:t>
      </w:r>
    </w:p>
    <w:p w:rsidR="00670F29" w:rsidRPr="00CF14AE" w:rsidRDefault="00670F29" w:rsidP="00670F29">
      <w:pPr>
        <w:tabs>
          <w:tab w:val="left" w:pos="720"/>
        </w:tabs>
        <w:spacing w:line="300" w:lineRule="atLeast"/>
        <w:ind w:left="720" w:hanging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 xml:space="preserve">-   Zona WC: colore Rosso per tazza WC, </w:t>
      </w:r>
      <w:proofErr w:type="spellStart"/>
      <w:r w:rsidRPr="00CF14AE">
        <w:rPr>
          <w:rFonts w:ascii="Garamond" w:hAnsi="Garamond" w:cs="Tahoma"/>
          <w:sz w:val="22"/>
          <w:szCs w:val="22"/>
        </w:rPr>
        <w:t>vuotatoio</w:t>
      </w:r>
      <w:proofErr w:type="spellEnd"/>
      <w:r w:rsidRPr="00CF14AE">
        <w:rPr>
          <w:rFonts w:ascii="Garamond" w:hAnsi="Garamond" w:cs="Tahoma"/>
          <w:sz w:val="22"/>
          <w:szCs w:val="22"/>
        </w:rPr>
        <w:t>, spazzola WC e area adiacente;</w:t>
      </w:r>
    </w:p>
    <w:p w:rsidR="00670F29" w:rsidRPr="00CF14AE" w:rsidRDefault="00670F29" w:rsidP="00670F29">
      <w:pPr>
        <w:tabs>
          <w:tab w:val="left" w:pos="720"/>
        </w:tabs>
        <w:spacing w:line="300" w:lineRule="atLeast"/>
        <w:ind w:left="720" w:hanging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 xml:space="preserve">-   Sala anatomica: panni dedicati </w:t>
      </w:r>
      <w:r w:rsidRPr="00CF14AE">
        <w:rPr>
          <w:rFonts w:ascii="Garamond" w:hAnsi="Garamond" w:cs="Tahoma"/>
          <w:b/>
          <w:sz w:val="22"/>
          <w:szCs w:val="22"/>
        </w:rPr>
        <w:t>monouso</w:t>
      </w:r>
      <w:r w:rsidRPr="00CF14AE">
        <w:rPr>
          <w:rFonts w:ascii="Garamond" w:hAnsi="Garamond" w:cs="Tahoma"/>
          <w:sz w:val="22"/>
          <w:szCs w:val="22"/>
        </w:rPr>
        <w:t>;</w:t>
      </w:r>
    </w:p>
    <w:p w:rsidR="00670F29" w:rsidRPr="00CF14AE" w:rsidRDefault="00670F29" w:rsidP="00670F29">
      <w:pPr>
        <w:tabs>
          <w:tab w:val="left" w:pos="720"/>
        </w:tabs>
        <w:spacing w:line="300" w:lineRule="atLeast"/>
        <w:ind w:left="720" w:hanging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-   Zona ufficio: panni dedicati.</w:t>
      </w:r>
    </w:p>
    <w:p w:rsidR="00670F29" w:rsidRPr="00CF14AE" w:rsidRDefault="00670F29" w:rsidP="00670F29">
      <w:pPr>
        <w:spacing w:line="300" w:lineRule="atLeast"/>
        <w:ind w:left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I panni utilizzati per la sanificazione vanno ripetutamente risciacquati nella soluzione sanificante e vanno rinnovati e sostituiti frequentemente.</w:t>
      </w:r>
    </w:p>
    <w:p w:rsidR="00670F29" w:rsidRPr="00CF14AE" w:rsidRDefault="00670F29" w:rsidP="00670F29">
      <w:pPr>
        <w:spacing w:line="300" w:lineRule="atLeast"/>
        <w:ind w:left="36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Nella sanitizzazione, le superfici devono restare inumidite per almeno 5 minuti, per permettere ai disinfettanti un tempo di contatto sufficiente a svolgere la propria azione.</w:t>
      </w:r>
    </w:p>
    <w:p w:rsidR="00670F29" w:rsidRPr="00CF14AE" w:rsidRDefault="00670F29" w:rsidP="00670F29">
      <w:pPr>
        <w:spacing w:line="300" w:lineRule="atLeast"/>
        <w:ind w:left="284"/>
        <w:jc w:val="both"/>
        <w:rPr>
          <w:rFonts w:ascii="Garamond" w:hAnsi="Garamond" w:cs="Tahoma"/>
          <w:b/>
          <w:sz w:val="22"/>
          <w:szCs w:val="22"/>
        </w:rPr>
      </w:pPr>
    </w:p>
    <w:p w:rsidR="00670F29" w:rsidRPr="00CF14AE" w:rsidRDefault="00670F29" w:rsidP="00670F29">
      <w:pPr>
        <w:numPr>
          <w:ilvl w:val="0"/>
          <w:numId w:val="2"/>
        </w:numPr>
        <w:tabs>
          <w:tab w:val="clear" w:pos="720"/>
          <w:tab w:val="num" w:pos="360"/>
        </w:tabs>
        <w:spacing w:line="300" w:lineRule="atLeast"/>
        <w:ind w:left="360"/>
        <w:jc w:val="both"/>
        <w:rPr>
          <w:rFonts w:ascii="Garamond" w:hAnsi="Garamond" w:cs="Tahoma"/>
          <w:sz w:val="22"/>
          <w:szCs w:val="22"/>
          <w:u w:val="single"/>
        </w:rPr>
      </w:pPr>
      <w:r w:rsidRPr="00CF14AE">
        <w:rPr>
          <w:rFonts w:ascii="Garamond" w:hAnsi="Garamond" w:cs="Tahoma"/>
          <w:sz w:val="22"/>
          <w:szCs w:val="22"/>
        </w:rPr>
        <w:t xml:space="preserve"> Devono essere previste metodiche di intervento che assicurino giornalmente, oltre alla normale pulizia degli ambienti, anche la sanificazione degli stessi.</w:t>
      </w:r>
    </w:p>
    <w:p w:rsidR="00670F29" w:rsidRPr="00CF14AE" w:rsidRDefault="00670F29" w:rsidP="00670F29">
      <w:pPr>
        <w:numPr>
          <w:ilvl w:val="12"/>
          <w:numId w:val="0"/>
        </w:numPr>
        <w:spacing w:line="300" w:lineRule="atLeast"/>
        <w:ind w:left="284"/>
        <w:jc w:val="both"/>
        <w:rPr>
          <w:rFonts w:ascii="Garamond" w:hAnsi="Garamond" w:cs="Tahoma"/>
          <w:sz w:val="22"/>
          <w:szCs w:val="22"/>
          <w:u w:val="single"/>
        </w:rPr>
      </w:pPr>
    </w:p>
    <w:p w:rsidR="00670F29" w:rsidRPr="00CF14AE" w:rsidRDefault="00670F29" w:rsidP="00670F29">
      <w:pPr>
        <w:numPr>
          <w:ilvl w:val="0"/>
          <w:numId w:val="2"/>
        </w:numPr>
        <w:tabs>
          <w:tab w:val="clear" w:pos="720"/>
          <w:tab w:val="num" w:pos="360"/>
        </w:tabs>
        <w:spacing w:line="300" w:lineRule="atLeast"/>
        <w:ind w:hanging="720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Non è ammesso all’interno degli ambienti l’uso di:</w:t>
      </w:r>
    </w:p>
    <w:p w:rsidR="00670F29" w:rsidRPr="00CF14AE" w:rsidRDefault="00670F29" w:rsidP="00670F29">
      <w:pPr>
        <w:spacing w:line="300" w:lineRule="atLeast"/>
        <w:ind w:left="709" w:hanging="357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- </w:t>
      </w:r>
      <w:r w:rsidRPr="00CF14AE">
        <w:rPr>
          <w:rFonts w:ascii="Garamond" w:hAnsi="Garamond" w:cs="Tahoma"/>
          <w:sz w:val="22"/>
          <w:szCs w:val="22"/>
        </w:rPr>
        <w:t>scope in setole di crine o nylon;</w:t>
      </w:r>
    </w:p>
    <w:p w:rsidR="00670F29" w:rsidRPr="00CF14AE" w:rsidRDefault="00670F29" w:rsidP="00670F29">
      <w:pPr>
        <w:spacing w:line="300" w:lineRule="atLeast"/>
        <w:ind w:left="709" w:hanging="357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-</w:t>
      </w:r>
      <w:r w:rsidRPr="00CF14AE">
        <w:rPr>
          <w:rFonts w:ascii="Garamond" w:hAnsi="Garamond" w:cs="Tahoma"/>
          <w:b/>
          <w:sz w:val="22"/>
          <w:szCs w:val="22"/>
        </w:rPr>
        <w:t xml:space="preserve"> </w:t>
      </w:r>
      <w:r w:rsidRPr="00CF14AE">
        <w:rPr>
          <w:rFonts w:ascii="Garamond" w:hAnsi="Garamond" w:cs="Tahoma"/>
          <w:sz w:val="22"/>
          <w:szCs w:val="22"/>
        </w:rPr>
        <w:t>spazzolini e stracci per pavimenti;</w:t>
      </w:r>
    </w:p>
    <w:p w:rsidR="00670F29" w:rsidRPr="00CF14AE" w:rsidRDefault="00670F29" w:rsidP="00670F29">
      <w:pPr>
        <w:spacing w:line="300" w:lineRule="atLeast"/>
        <w:ind w:left="709" w:hanging="357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- </w:t>
      </w:r>
      <w:r w:rsidRPr="00CF14AE">
        <w:rPr>
          <w:rFonts w:ascii="Garamond" w:hAnsi="Garamond" w:cs="Tahoma"/>
          <w:sz w:val="22"/>
          <w:szCs w:val="22"/>
        </w:rPr>
        <w:t>segatura impregnata.</w:t>
      </w:r>
    </w:p>
    <w:p w:rsidR="00670F29" w:rsidRPr="00CF14AE" w:rsidRDefault="00670F29" w:rsidP="00670F29">
      <w:pPr>
        <w:spacing w:line="300" w:lineRule="atLeast"/>
        <w:ind w:left="284"/>
        <w:jc w:val="both"/>
        <w:rPr>
          <w:rFonts w:ascii="Garamond" w:hAnsi="Garamond" w:cs="Tahoma"/>
          <w:sz w:val="22"/>
          <w:szCs w:val="22"/>
          <w:u w:val="single"/>
        </w:rPr>
      </w:pPr>
    </w:p>
    <w:p w:rsidR="00670F29" w:rsidRPr="00CF14AE" w:rsidRDefault="00670F29" w:rsidP="00670F29">
      <w:pPr>
        <w:spacing w:line="300" w:lineRule="atLeast"/>
        <w:ind w:left="284" w:hanging="284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 xml:space="preserve">d) La scopatura dei pavimenti deve essere effettuata ad umido, utilizzando scope tipo lamellare con garze monouso sostituite ad ogni 40 mq. di </w:t>
      </w:r>
      <w:r w:rsidRPr="00CF14AE">
        <w:rPr>
          <w:rFonts w:ascii="Garamond" w:hAnsi="Garamond" w:cs="Tahoma"/>
          <w:color w:val="000000"/>
          <w:sz w:val="22"/>
          <w:szCs w:val="22"/>
        </w:rPr>
        <w:t>superficie (</w:t>
      </w:r>
      <w:r w:rsidRPr="00CF14AE">
        <w:rPr>
          <w:rFonts w:ascii="Garamond" w:hAnsi="Garamond" w:cs="Tahoma"/>
          <w:sz w:val="22"/>
          <w:szCs w:val="22"/>
        </w:rPr>
        <w:t>corridoi, atri, ecc.).  Le suddette garze monouso dovranno, altresì, essere sostituite ad ogni cambio di stanza degli ambienti sanitari.</w:t>
      </w:r>
    </w:p>
    <w:p w:rsidR="00670F29" w:rsidRPr="00CF14AE" w:rsidRDefault="00670F29" w:rsidP="00670F29">
      <w:pPr>
        <w:tabs>
          <w:tab w:val="center" w:pos="9639"/>
        </w:tabs>
        <w:spacing w:line="300" w:lineRule="atLeast"/>
        <w:ind w:left="284"/>
        <w:jc w:val="both"/>
        <w:rPr>
          <w:rFonts w:ascii="Garamond" w:hAnsi="Garamond" w:cs="Tahoma"/>
          <w:b/>
          <w:sz w:val="22"/>
          <w:szCs w:val="22"/>
          <w:u w:val="single"/>
        </w:rPr>
      </w:pPr>
    </w:p>
    <w:p w:rsidR="00670F29" w:rsidRPr="00CF14AE" w:rsidRDefault="00670F29" w:rsidP="00670F29">
      <w:pPr>
        <w:tabs>
          <w:tab w:val="center" w:pos="9639"/>
        </w:tabs>
        <w:spacing w:line="300" w:lineRule="atLeast"/>
        <w:ind w:left="284" w:hanging="284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 xml:space="preserve">e) La sanificazione dei pavimenti va preferibilmente eseguita con prodotti ad azione detergente/disinfettante. La soluzione sanificante va impiegata sempre pulita ed il relativo tessuto spugna o frangia </w:t>
      </w:r>
      <w:proofErr w:type="spellStart"/>
      <w:r w:rsidRPr="00CF14AE">
        <w:rPr>
          <w:rFonts w:ascii="Garamond" w:hAnsi="Garamond" w:cs="Tahoma"/>
          <w:sz w:val="22"/>
          <w:szCs w:val="22"/>
        </w:rPr>
        <w:t>mop</w:t>
      </w:r>
      <w:proofErr w:type="spellEnd"/>
      <w:r w:rsidRPr="00CF14AE">
        <w:rPr>
          <w:rFonts w:ascii="Garamond" w:hAnsi="Garamond" w:cs="Tahoma"/>
          <w:sz w:val="22"/>
          <w:szCs w:val="22"/>
        </w:rPr>
        <w:t xml:space="preserve"> o equivalente usati vanno sostituiti ad ogni cambio di stanza degli ambienti sanitari e comunque ogni 40 mq. di (corridoi o altre) superfici.</w:t>
      </w:r>
    </w:p>
    <w:p w:rsidR="00670F29" w:rsidRPr="00CF14AE" w:rsidRDefault="00670F29" w:rsidP="00670F29">
      <w:pPr>
        <w:tabs>
          <w:tab w:val="center" w:pos="9639"/>
        </w:tabs>
        <w:spacing w:line="300" w:lineRule="atLeast"/>
        <w:ind w:left="284" w:hanging="284"/>
        <w:jc w:val="both"/>
        <w:rPr>
          <w:rFonts w:ascii="Garamond" w:hAnsi="Garamond" w:cs="Tahoma"/>
          <w:sz w:val="22"/>
          <w:szCs w:val="22"/>
        </w:rPr>
      </w:pPr>
    </w:p>
    <w:p w:rsidR="00670F29" w:rsidRPr="00CF14AE" w:rsidRDefault="00670F29" w:rsidP="00670F29">
      <w:pPr>
        <w:tabs>
          <w:tab w:val="center" w:pos="9639"/>
        </w:tabs>
        <w:spacing w:line="300" w:lineRule="atLeast"/>
        <w:ind w:left="284" w:hanging="284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f)</w:t>
      </w:r>
      <w:r w:rsidRPr="00CF14AE">
        <w:rPr>
          <w:rFonts w:ascii="Garamond" w:hAnsi="Garamond" w:cs="Tahoma"/>
          <w:b/>
          <w:sz w:val="22"/>
          <w:szCs w:val="22"/>
        </w:rPr>
        <w:t xml:space="preserve"> </w:t>
      </w:r>
      <w:r w:rsidRPr="00CF14AE">
        <w:rPr>
          <w:rFonts w:ascii="Garamond" w:hAnsi="Garamond" w:cs="Tahoma"/>
          <w:sz w:val="22"/>
          <w:szCs w:val="22"/>
        </w:rPr>
        <w:t>Tutti i prodotti chimici per la pulizia e sanificazione (detergenti, detergenti/disinfettanti, disincrostanti, ecc.), devono rispondere ai requisiti previsti dalla normativa vigente e devono essere presenti le schede tecniche e di sicurezza.</w:t>
      </w:r>
    </w:p>
    <w:p w:rsidR="00670F29" w:rsidRPr="00CF14AE" w:rsidRDefault="00670F29" w:rsidP="00670F29">
      <w:pPr>
        <w:tabs>
          <w:tab w:val="center" w:pos="9639"/>
        </w:tabs>
        <w:spacing w:line="300" w:lineRule="atLeast"/>
        <w:ind w:left="284" w:hanging="284"/>
        <w:jc w:val="both"/>
        <w:rPr>
          <w:rFonts w:ascii="Garamond" w:hAnsi="Garamond" w:cs="Tahoma"/>
          <w:sz w:val="22"/>
          <w:szCs w:val="22"/>
        </w:rPr>
      </w:pPr>
    </w:p>
    <w:p w:rsidR="00670F29" w:rsidRPr="00CF14AE" w:rsidRDefault="00670F29" w:rsidP="00670F29">
      <w:pPr>
        <w:tabs>
          <w:tab w:val="center" w:pos="9639"/>
        </w:tabs>
        <w:spacing w:line="300" w:lineRule="atLeast"/>
        <w:ind w:left="284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E’ vietato l’uso di prodotti non conformi alla normativa vigente, tossici e corrosivi, e in particolare:</w:t>
      </w:r>
    </w:p>
    <w:p w:rsidR="00670F29" w:rsidRPr="00CF14AE" w:rsidRDefault="00670F29" w:rsidP="00670F29">
      <w:pPr>
        <w:numPr>
          <w:ilvl w:val="0"/>
          <w:numId w:val="1"/>
        </w:numPr>
        <w:tabs>
          <w:tab w:val="center" w:pos="9639"/>
        </w:tabs>
        <w:overflowPunct w:val="0"/>
        <w:autoSpaceDE w:val="0"/>
        <w:autoSpaceDN w:val="0"/>
        <w:adjustRightInd w:val="0"/>
        <w:spacing w:line="300" w:lineRule="atLeast"/>
        <w:ind w:hanging="284"/>
        <w:jc w:val="both"/>
        <w:textAlignment w:val="baseline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acido cloridrico;</w:t>
      </w:r>
    </w:p>
    <w:p w:rsidR="00670F29" w:rsidRPr="00CF14AE" w:rsidRDefault="00670F29" w:rsidP="00670F29">
      <w:pPr>
        <w:numPr>
          <w:ilvl w:val="0"/>
          <w:numId w:val="1"/>
        </w:numPr>
        <w:tabs>
          <w:tab w:val="center" w:pos="9639"/>
        </w:tabs>
        <w:overflowPunct w:val="0"/>
        <w:autoSpaceDE w:val="0"/>
        <w:autoSpaceDN w:val="0"/>
        <w:adjustRightInd w:val="0"/>
        <w:spacing w:line="300" w:lineRule="atLeast"/>
        <w:ind w:hanging="284"/>
        <w:jc w:val="both"/>
        <w:textAlignment w:val="baseline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ammoniaca superiore al 2%;</w:t>
      </w:r>
    </w:p>
    <w:p w:rsidR="00670F29" w:rsidRPr="00CF14AE" w:rsidRDefault="00670F29" w:rsidP="00670F29">
      <w:pPr>
        <w:numPr>
          <w:ilvl w:val="0"/>
          <w:numId w:val="1"/>
        </w:numPr>
        <w:tabs>
          <w:tab w:val="center" w:pos="9639"/>
        </w:tabs>
        <w:overflowPunct w:val="0"/>
        <w:autoSpaceDE w:val="0"/>
        <w:autoSpaceDN w:val="0"/>
        <w:adjustRightInd w:val="0"/>
        <w:spacing w:line="300" w:lineRule="atLeast"/>
        <w:ind w:hanging="284"/>
        <w:jc w:val="both"/>
        <w:textAlignment w:val="baseline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acido muriatico;</w:t>
      </w:r>
    </w:p>
    <w:p w:rsidR="00670F29" w:rsidRPr="00CF14AE" w:rsidRDefault="00670F29" w:rsidP="00670F29">
      <w:pPr>
        <w:numPr>
          <w:ilvl w:val="0"/>
          <w:numId w:val="1"/>
        </w:numPr>
        <w:tabs>
          <w:tab w:val="center" w:pos="9639"/>
        </w:tabs>
        <w:overflowPunct w:val="0"/>
        <w:autoSpaceDE w:val="0"/>
        <w:autoSpaceDN w:val="0"/>
        <w:adjustRightInd w:val="0"/>
        <w:spacing w:line="300" w:lineRule="atLeast"/>
        <w:ind w:hanging="284"/>
        <w:jc w:val="both"/>
        <w:textAlignment w:val="baseline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acido nitrico.</w:t>
      </w:r>
    </w:p>
    <w:p w:rsidR="00670F29" w:rsidRPr="00CF14AE" w:rsidRDefault="00670F29" w:rsidP="00670F29">
      <w:pPr>
        <w:spacing w:line="300" w:lineRule="atLeast"/>
        <w:ind w:left="540" w:hanging="360"/>
        <w:rPr>
          <w:rFonts w:ascii="Garamond" w:hAnsi="Garamond" w:cs="Tahoma"/>
          <w:b/>
          <w:sz w:val="22"/>
          <w:szCs w:val="22"/>
        </w:rPr>
      </w:pP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b/>
          <w:sz w:val="22"/>
          <w:szCs w:val="22"/>
        </w:rPr>
      </w:pPr>
      <w:r w:rsidRPr="00CF14AE">
        <w:rPr>
          <w:rFonts w:ascii="Garamond" w:hAnsi="Garamond" w:cs="Tahoma"/>
          <w:b/>
          <w:sz w:val="22"/>
          <w:szCs w:val="22"/>
        </w:rPr>
        <w:t>E’ a carico dell’Azienda Ospedaliera la fornitura di tutte le tipologie di contenitori per la raccolta differenziata dei rifiuti assimilati agli urbani e dei rifiuti a rischio infettivo e, limitatamente ai servizi igienici aperti al pubblico, la fornit</w:t>
      </w:r>
      <w:r>
        <w:rPr>
          <w:rFonts w:ascii="Garamond" w:hAnsi="Garamond" w:cs="Tahoma"/>
          <w:b/>
          <w:sz w:val="22"/>
          <w:szCs w:val="22"/>
        </w:rPr>
        <w:t xml:space="preserve">ura di carta igienica, sapone, </w:t>
      </w:r>
      <w:r w:rsidRPr="00CF14AE">
        <w:rPr>
          <w:rFonts w:ascii="Garamond" w:hAnsi="Garamond" w:cs="Tahoma"/>
          <w:b/>
          <w:sz w:val="22"/>
          <w:szCs w:val="22"/>
        </w:rPr>
        <w:t xml:space="preserve">carta per l’igiene delle mani. </w:t>
      </w: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b/>
          <w:sz w:val="22"/>
          <w:szCs w:val="22"/>
        </w:rPr>
      </w:pPr>
      <w:r w:rsidRPr="00CF14AE">
        <w:rPr>
          <w:rFonts w:ascii="Garamond" w:hAnsi="Garamond" w:cs="Tahoma"/>
          <w:b/>
          <w:sz w:val="22"/>
          <w:szCs w:val="22"/>
        </w:rPr>
        <w:t>Il riempimento quotidiano dei dispenser di carta e sapone ivi collocati, è invece a carico della ditta aggiudicataria.</w:t>
      </w:r>
    </w:p>
    <w:p w:rsidR="00670F29" w:rsidRPr="00CF14AE" w:rsidRDefault="00670F29" w:rsidP="00670F29">
      <w:pPr>
        <w:pStyle w:val="Titolo1"/>
        <w:spacing w:line="300" w:lineRule="atLeast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sz w:val="22"/>
          <w:szCs w:val="22"/>
        </w:rPr>
        <w:t>Suddivisione delle aree per tipologia di rischio</w:t>
      </w:r>
    </w:p>
    <w:p w:rsidR="00670F29" w:rsidRPr="00CF14AE" w:rsidRDefault="00670F29" w:rsidP="00670F29">
      <w:pPr>
        <w:rPr>
          <w:rFonts w:ascii="Garamond" w:hAnsi="Garamond"/>
          <w:sz w:val="22"/>
          <w:szCs w:val="22"/>
        </w:rPr>
      </w:pPr>
    </w:p>
    <w:p w:rsidR="00670F29" w:rsidRPr="00CF14AE" w:rsidRDefault="00670F29" w:rsidP="00670F29">
      <w:pPr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bCs/>
          <w:i/>
          <w:iCs/>
          <w:sz w:val="22"/>
          <w:szCs w:val="22"/>
        </w:rPr>
        <w:t xml:space="preserve">- </w:t>
      </w:r>
      <w:r w:rsidRPr="00CF14AE">
        <w:rPr>
          <w:rFonts w:ascii="Garamond" w:hAnsi="Garamond" w:cs="Tahoma"/>
          <w:bCs/>
          <w:iCs/>
          <w:sz w:val="22"/>
          <w:szCs w:val="22"/>
        </w:rPr>
        <w:t>AREE A LIMITATO RISCHIO:</w:t>
      </w:r>
      <w:r w:rsidRPr="00CF14AE">
        <w:rPr>
          <w:rFonts w:ascii="Garamond" w:hAnsi="Garamond" w:cs="Tahoma"/>
          <w:bCs/>
          <w:i/>
          <w:iCs/>
          <w:sz w:val="22"/>
          <w:szCs w:val="22"/>
        </w:rPr>
        <w:t xml:space="preserve"> </w:t>
      </w:r>
      <w:r w:rsidRPr="00CF14AE">
        <w:rPr>
          <w:rFonts w:ascii="Garamond" w:hAnsi="Garamond" w:cs="Tahoma"/>
          <w:sz w:val="22"/>
          <w:szCs w:val="22"/>
        </w:rPr>
        <w:t>zona pubblica a medio ed alto calpestio e di breve sosta (a puro titolo esemplificativo: viali esterni, cortili, terrazze, balconi, tunnel, scantinati, depositi, vani tecnici, etc.).</w:t>
      </w:r>
    </w:p>
    <w:p w:rsidR="00670F29" w:rsidRPr="00CF14AE" w:rsidRDefault="00670F29" w:rsidP="00670F29">
      <w:pPr>
        <w:jc w:val="both"/>
        <w:rPr>
          <w:rFonts w:ascii="Garamond" w:hAnsi="Garamond" w:cs="Tahoma"/>
          <w:sz w:val="22"/>
          <w:szCs w:val="22"/>
        </w:rPr>
      </w:pP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caps/>
          <w:sz w:val="22"/>
          <w:szCs w:val="22"/>
        </w:rPr>
        <w:t>- Aree a Basso rischio</w:t>
      </w:r>
      <w:r w:rsidRPr="00CF14AE">
        <w:rPr>
          <w:rFonts w:ascii="Garamond" w:hAnsi="Garamond" w:cs="Tahoma"/>
          <w:sz w:val="22"/>
          <w:szCs w:val="22"/>
        </w:rPr>
        <w:t>:</w:t>
      </w:r>
      <w:r w:rsidRPr="00CF14AE">
        <w:rPr>
          <w:rFonts w:ascii="Garamond" w:hAnsi="Garamond" w:cs="Tahoma"/>
          <w:b/>
          <w:sz w:val="22"/>
          <w:szCs w:val="22"/>
        </w:rPr>
        <w:t xml:space="preserve"> </w:t>
      </w:r>
      <w:r w:rsidRPr="00CF14AE">
        <w:rPr>
          <w:rFonts w:ascii="Garamond" w:hAnsi="Garamond" w:cs="Tahoma"/>
          <w:sz w:val="22"/>
          <w:szCs w:val="22"/>
        </w:rPr>
        <w:t>zona pubblica a medio ed alto calpestio (a puro titolo esemplificativo: ingressi, aree esterne, stanze del personale e/o dei medici, ripostiglio materiali puliti).</w:t>
      </w: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sz w:val="22"/>
          <w:szCs w:val="22"/>
        </w:rPr>
      </w:pP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caps/>
          <w:sz w:val="22"/>
          <w:szCs w:val="22"/>
        </w:rPr>
        <w:t>- Aree a Medio rischio</w:t>
      </w:r>
      <w:r w:rsidRPr="00CF14AE">
        <w:rPr>
          <w:rFonts w:ascii="Garamond" w:hAnsi="Garamond" w:cs="Tahoma"/>
          <w:sz w:val="22"/>
          <w:szCs w:val="22"/>
        </w:rPr>
        <w:t xml:space="preserve">: area in cui non sono presenti pazienti infetti o altamente suscettibili alle infezioni, ne fanno parte anche le aree con elevato movimento di persone (a puro titolo esemplificativo: aree degenza, corridoi di reparto, aree per diagnostica, ambulatori, infermerie, servizi di </w:t>
      </w:r>
      <w:proofErr w:type="spellStart"/>
      <w:r w:rsidRPr="00CF14AE">
        <w:rPr>
          <w:rFonts w:ascii="Garamond" w:hAnsi="Garamond" w:cs="Tahoma"/>
          <w:sz w:val="22"/>
          <w:szCs w:val="22"/>
        </w:rPr>
        <w:t>day-hospital</w:t>
      </w:r>
      <w:proofErr w:type="spellEnd"/>
      <w:r w:rsidRPr="00CF14AE">
        <w:rPr>
          <w:rFonts w:ascii="Garamond" w:hAnsi="Garamond" w:cs="Tahoma"/>
          <w:sz w:val="22"/>
          <w:szCs w:val="22"/>
        </w:rPr>
        <w:t>, area di deposito salme, etc.).</w:t>
      </w: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sz w:val="22"/>
          <w:szCs w:val="22"/>
        </w:rPr>
      </w:pPr>
    </w:p>
    <w:p w:rsidR="00670F29" w:rsidRPr="00CF14AE" w:rsidRDefault="00670F29" w:rsidP="00670F29">
      <w:pPr>
        <w:spacing w:line="300" w:lineRule="atLeast"/>
        <w:jc w:val="both"/>
        <w:rPr>
          <w:rFonts w:ascii="Garamond" w:hAnsi="Garamond" w:cs="Tahoma"/>
          <w:b/>
          <w:sz w:val="22"/>
          <w:szCs w:val="22"/>
        </w:rPr>
      </w:pPr>
      <w:r w:rsidRPr="00CF14AE">
        <w:rPr>
          <w:rFonts w:ascii="Garamond" w:hAnsi="Garamond" w:cs="Tahoma"/>
          <w:caps/>
          <w:sz w:val="22"/>
          <w:szCs w:val="22"/>
        </w:rPr>
        <w:t>- Aree ad Alto rischio</w:t>
      </w:r>
      <w:r w:rsidRPr="00CF14AE">
        <w:rPr>
          <w:rFonts w:ascii="Garamond" w:hAnsi="Garamond" w:cs="Tahoma"/>
          <w:sz w:val="22"/>
          <w:szCs w:val="22"/>
        </w:rPr>
        <w:t>:</w:t>
      </w:r>
      <w:r w:rsidRPr="00CF14AE">
        <w:rPr>
          <w:rFonts w:ascii="Garamond" w:hAnsi="Garamond" w:cs="Tahoma"/>
          <w:b/>
          <w:sz w:val="22"/>
          <w:szCs w:val="22"/>
        </w:rPr>
        <w:t xml:space="preserve"> </w:t>
      </w:r>
      <w:r w:rsidRPr="00CF14AE">
        <w:rPr>
          <w:rFonts w:ascii="Garamond" w:hAnsi="Garamond" w:cs="Tahoma"/>
          <w:sz w:val="22"/>
          <w:szCs w:val="22"/>
        </w:rPr>
        <w:t>area in cui sono presenti pazienti altamente suscettibili alle infezioni o pazienti infetti, ma anche area in cui ci sia la presenza di materiali infetti o potenzialmente tali (a puro titolo esemplificativo: stanze di isolamento per infetti, aree di isola</w:t>
      </w:r>
      <w:r>
        <w:rPr>
          <w:rFonts w:ascii="Garamond" w:hAnsi="Garamond" w:cs="Tahoma"/>
          <w:sz w:val="22"/>
          <w:szCs w:val="22"/>
        </w:rPr>
        <w:t xml:space="preserve">mento protettivo e di confino, </w:t>
      </w:r>
      <w:r w:rsidRPr="00CF14AE">
        <w:rPr>
          <w:rFonts w:ascii="Garamond" w:hAnsi="Garamond" w:cs="Tahoma"/>
          <w:sz w:val="22"/>
          <w:szCs w:val="22"/>
        </w:rPr>
        <w:t>dialisi, terapie intensive, aree critiche, sale operatorie, sale anatomiche, etc.).</w:t>
      </w:r>
    </w:p>
    <w:p w:rsidR="00670F29" w:rsidRPr="00CF14AE" w:rsidRDefault="00670F29" w:rsidP="00670F29">
      <w:pPr>
        <w:spacing w:line="300" w:lineRule="atLeast"/>
        <w:rPr>
          <w:rFonts w:ascii="Garamond" w:hAnsi="Garamond" w:cs="Tahoma"/>
          <w:b/>
          <w:sz w:val="22"/>
          <w:szCs w:val="22"/>
        </w:rPr>
      </w:pPr>
    </w:p>
    <w:p w:rsidR="00670F29" w:rsidRPr="00CF14AE" w:rsidRDefault="00670F29" w:rsidP="00670F29">
      <w:pPr>
        <w:spacing w:line="300" w:lineRule="atLeast"/>
        <w:rPr>
          <w:rFonts w:ascii="Garamond" w:hAnsi="Garamond" w:cs="Tahoma"/>
          <w:sz w:val="22"/>
          <w:szCs w:val="22"/>
        </w:rPr>
      </w:pPr>
      <w:r w:rsidRPr="00CF14AE">
        <w:rPr>
          <w:rFonts w:ascii="Garamond" w:hAnsi="Garamond" w:cs="Tahoma"/>
          <w:b/>
          <w:sz w:val="22"/>
          <w:szCs w:val="22"/>
        </w:rPr>
        <w:t xml:space="preserve">Camera Mortuaria di Pordenone </w:t>
      </w:r>
      <w:r w:rsidRPr="00CF14AE">
        <w:rPr>
          <w:rFonts w:ascii="Garamond" w:hAnsi="Garamond" w:cs="Tahoma"/>
          <w:sz w:val="22"/>
          <w:szCs w:val="22"/>
        </w:rPr>
        <w:t>(vedere la planimetria in allegato)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927"/>
        <w:gridCol w:w="4901"/>
        <w:gridCol w:w="26"/>
      </w:tblGrid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Aree esterna a limitato rischio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Frequenza settimanale di pulizia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perimetro esterno alle sale di esposizione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Cortile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Secondo necessita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n.1; cappella,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volta al mese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 xml:space="preserve">Locali a basso rischio  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Frequenza settimanale di pulizia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 xml:space="preserve">n. 28;31 archivi, n.35; n.20 magazzino 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1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n.30;32 sala salma infetta (quando libera)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lastRenderedPageBreak/>
              <w:t xml:space="preserve">n.24; 25;20 locali personale, magazzino, 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 27; entrata interna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n.4; sala attesa del pubblico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n.38;39;40;42;43 Sale di esposizione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locali a medio rischio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Frequenza settimanale di pulizia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n.23;37;41;26 Corridoi interni e Ufficio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n.33;34 sale osservazione/preparazione salme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n.36 locale celle frigorifere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n.5;6;7 servizi igienici del pubblico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proofErr w:type="spellStart"/>
            <w:r w:rsidRPr="00CF14AE">
              <w:rPr>
                <w:rFonts w:ascii="Garamond" w:hAnsi="Garamond" w:cs="Tahoma"/>
                <w:sz w:val="22"/>
                <w:szCs w:val="22"/>
              </w:rPr>
              <w:t>Montalettighe</w:t>
            </w:r>
            <w:proofErr w:type="spellEnd"/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6</w:t>
            </w:r>
          </w:p>
        </w:tc>
      </w:tr>
      <w:tr w:rsidR="00670F29" w:rsidRPr="00CF14AE" w:rsidTr="00322B9C">
        <w:trPr>
          <w:gridAfter w:val="1"/>
          <w:wAfter w:w="26" w:type="dxa"/>
        </w:trPr>
        <w:tc>
          <w:tcPr>
            <w:tcW w:w="2500" w:type="pct"/>
            <w:tcBorders>
              <w:bottom w:val="single" w:sz="4" w:space="0" w:color="auto"/>
            </w:tcBorders>
          </w:tcPr>
          <w:p w:rsidR="00670F29" w:rsidRPr="00CF14AE" w:rsidRDefault="00670F29" w:rsidP="00322B9C">
            <w:pPr>
              <w:spacing w:line="300" w:lineRule="atLeast"/>
              <w:jc w:val="both"/>
              <w:rPr>
                <w:rFonts w:ascii="Garamond" w:hAnsi="Garamond" w:cs="Tahoma"/>
                <w:b/>
                <w:caps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locali ad alto rischio</w:t>
            </w:r>
          </w:p>
        </w:tc>
        <w:tc>
          <w:tcPr>
            <w:tcW w:w="2487" w:type="pct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b/>
                <w:caps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Frequenza settimanale di pulizia</w:t>
            </w:r>
          </w:p>
        </w:tc>
      </w:tr>
      <w:tr w:rsidR="00670F29" w:rsidRPr="00CF14AE" w:rsidTr="00322B9C">
        <w:trPr>
          <w:gridAfter w:val="1"/>
          <w:wAfter w:w="26" w:type="dxa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caps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n.18;19 sala anatomica e locale attiguo</w:t>
            </w:r>
          </w:p>
        </w:tc>
        <w:tc>
          <w:tcPr>
            <w:tcW w:w="2487" w:type="pct"/>
            <w:tcBorders>
              <w:left w:val="single" w:sz="4" w:space="0" w:color="auto"/>
            </w:tcBorders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dopo ogni riscontro diagnostico</w:t>
            </w:r>
          </w:p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(vedere procedura specifica descritta a seguire)</w:t>
            </w:r>
          </w:p>
        </w:tc>
      </w:tr>
    </w:tbl>
    <w:p w:rsidR="00670F29" w:rsidRPr="00CF14AE" w:rsidRDefault="00670F29" w:rsidP="00670F29">
      <w:pPr>
        <w:rPr>
          <w:rFonts w:ascii="Garamond" w:hAnsi="Garamond"/>
          <w:sz w:val="22"/>
          <w:szCs w:val="22"/>
        </w:rPr>
      </w:pPr>
    </w:p>
    <w:p w:rsidR="00670F29" w:rsidRPr="00CF14AE" w:rsidRDefault="00670F29" w:rsidP="00670F29">
      <w:pPr>
        <w:rPr>
          <w:rFonts w:ascii="Garamond" w:hAnsi="Garamond" w:cs="Tahoma"/>
          <w:b/>
          <w:sz w:val="22"/>
          <w:szCs w:val="22"/>
        </w:rPr>
      </w:pPr>
      <w:r w:rsidRPr="00CF14AE">
        <w:rPr>
          <w:rFonts w:ascii="Garamond" w:hAnsi="Garamond" w:cs="Tahoma"/>
          <w:b/>
          <w:sz w:val="22"/>
          <w:szCs w:val="22"/>
        </w:rPr>
        <w:t>Camera Mortuaria di Sacile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01"/>
        <w:gridCol w:w="26"/>
      </w:tblGrid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Area esterna a limitato rischio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Perimetro esterno alle sale di esposizione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Cortile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Secondo necessità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 xml:space="preserve">Locali a basso rischio  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Frequenza settimanale di pulizia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n.16;19 Locali personale, magazzino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1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n.18 servizi igienici personale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n.05; 08 corridoi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 xml:space="preserve">n.1 Sala dolenti  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 2;3;4 servizi igienici del pubblico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 09;10; 11 sale di esposizione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locali a medio rischio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Frequenza settimanale  di pulizia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n.13;14 sala osservazione /celle frigorifere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n.12 sale osservazione deposito salma</w:t>
            </w:r>
          </w:p>
        </w:tc>
        <w:tc>
          <w:tcPr>
            <w:tcW w:w="2500" w:type="pct"/>
            <w:gridSpan w:val="2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1 X 3</w:t>
            </w:r>
          </w:p>
        </w:tc>
      </w:tr>
      <w:tr w:rsidR="00670F29" w:rsidRPr="00CF14AE" w:rsidTr="00322B9C">
        <w:trPr>
          <w:gridAfter w:val="1"/>
          <w:wAfter w:w="26" w:type="dxa"/>
        </w:trPr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jc w:val="both"/>
              <w:rPr>
                <w:rFonts w:ascii="Garamond" w:hAnsi="Garamond" w:cs="Tahoma"/>
                <w:b/>
                <w:caps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locali ad alto rischio</w:t>
            </w:r>
          </w:p>
        </w:tc>
        <w:tc>
          <w:tcPr>
            <w:tcW w:w="2487" w:type="pct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b/>
                <w:caps/>
                <w:sz w:val="22"/>
                <w:szCs w:val="22"/>
              </w:rPr>
            </w:pPr>
            <w:r w:rsidRPr="00CF14AE">
              <w:rPr>
                <w:rFonts w:ascii="Garamond" w:hAnsi="Garamond" w:cs="Tahoma"/>
                <w:b/>
                <w:sz w:val="22"/>
                <w:szCs w:val="22"/>
              </w:rPr>
              <w:t>Frequenza settimanale di pulizia</w:t>
            </w:r>
          </w:p>
        </w:tc>
      </w:tr>
      <w:tr w:rsidR="00670F29" w:rsidRPr="00CF14AE" w:rsidTr="00322B9C">
        <w:trPr>
          <w:gridAfter w:val="1"/>
          <w:wAfter w:w="26" w:type="dxa"/>
        </w:trPr>
        <w:tc>
          <w:tcPr>
            <w:tcW w:w="2500" w:type="pct"/>
          </w:tcPr>
          <w:p w:rsidR="00670F29" w:rsidRPr="00CF14AE" w:rsidRDefault="00670F29" w:rsidP="00322B9C">
            <w:pPr>
              <w:spacing w:line="300" w:lineRule="atLeast"/>
              <w:rPr>
                <w:rFonts w:ascii="Garamond" w:hAnsi="Garamond" w:cs="Tahoma"/>
                <w:caps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n.15 Sala Anatomica</w:t>
            </w:r>
          </w:p>
        </w:tc>
        <w:tc>
          <w:tcPr>
            <w:tcW w:w="2487" w:type="pct"/>
          </w:tcPr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Dopo ogni riscontro diagnostico</w:t>
            </w:r>
          </w:p>
          <w:p w:rsidR="00670F29" w:rsidRPr="00CF14AE" w:rsidRDefault="00670F29" w:rsidP="00322B9C">
            <w:pPr>
              <w:spacing w:line="300" w:lineRule="atLeast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F14AE">
              <w:rPr>
                <w:rFonts w:ascii="Garamond" w:hAnsi="Garamond" w:cs="Tahoma"/>
                <w:sz w:val="22"/>
                <w:szCs w:val="22"/>
              </w:rPr>
              <w:t>( vedere procedura descritta a seguire)</w:t>
            </w:r>
          </w:p>
        </w:tc>
      </w:tr>
    </w:tbl>
    <w:p w:rsidR="00670F29" w:rsidRPr="00C26A83" w:rsidRDefault="00670F29" w:rsidP="00670F29"/>
    <w:p w:rsidR="00670F29" w:rsidRDefault="00670F29"/>
    <w:sectPr w:rsidR="00670F29" w:rsidSect="00564E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22419"/>
    <w:multiLevelType w:val="hybridMultilevel"/>
    <w:tmpl w:val="8404FC2A"/>
    <w:lvl w:ilvl="0" w:tplc="04100001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AB7E851C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5BB331EC"/>
    <w:multiLevelType w:val="hybridMultilevel"/>
    <w:tmpl w:val="474C8F2C"/>
    <w:lvl w:ilvl="0" w:tplc="2154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70F29"/>
    <w:rsid w:val="00564E2D"/>
    <w:rsid w:val="0067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70F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70F29"/>
    <w:rPr>
      <w:rFonts w:ascii="Arial" w:eastAsia="Times New Roman" w:hAnsi="Arial" w:cs="Arial"/>
      <w:b/>
      <w:bCs/>
      <w:kern w:val="32"/>
      <w:sz w:val="32"/>
      <w:szCs w:val="3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5830</Characters>
  <Application>Microsoft Office Word</Application>
  <DocSecurity>0</DocSecurity>
  <Lines>48</Lines>
  <Paragraphs>13</Paragraphs>
  <ScaleCrop>false</ScaleCrop>
  <Company/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poiana.paola</dc:creator>
  <cp:keywords/>
  <dc:description/>
  <cp:lastModifiedBy>poiana.paola</cp:lastModifiedBy>
  <cp:revision>1</cp:revision>
  <dcterms:created xsi:type="dcterms:W3CDTF">2015-09-04T10:14:00Z</dcterms:created>
  <dcterms:modified xsi:type="dcterms:W3CDTF">2015-09-04T10:14:00Z</dcterms:modified>
</cp:coreProperties>
</file>